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B80A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b65e897d.B" w:hAnsi="AdvOTb65e897d.B" w:cs="AdvOTb65e897d.B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>Supplementary Materials</w:t>
      </w:r>
    </w:p>
    <w:p w14:paraId="57CD1DC4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S1 </w:t>
      </w:r>
      <w:r>
        <w:rPr>
          <w:rFonts w:ascii="AdvOT1ef757c0" w:hAnsi="AdvOT1ef757c0" w:cs="AdvOT1ef757c0"/>
          <w:kern w:val="0"/>
          <w:sz w:val="20"/>
          <w:szCs w:val="20"/>
        </w:rPr>
        <w:t>SiRNA sequences for RPL4</w:t>
      </w:r>
    </w:p>
    <w:p w14:paraId="72FBC2A4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S2 </w:t>
      </w:r>
      <w:r>
        <w:rPr>
          <w:rFonts w:ascii="AdvOT1ef757c0" w:hAnsi="AdvOT1ef757c0" w:cs="AdvOT1ef757c0"/>
          <w:kern w:val="0"/>
          <w:sz w:val="20"/>
          <w:szCs w:val="20"/>
        </w:rPr>
        <w:t>Normalized mRNA expression pro</w:t>
      </w:r>
      <w:r>
        <w:rPr>
          <w:rFonts w:ascii="AdvOT1ef757c0+fb" w:eastAsia="AdvOT1ef757c0+fb" w:hAnsi="AdvOTb65e897d.B" w:cs="AdvOT1ef757c0+fb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>le</w:t>
      </w:r>
    </w:p>
    <w:p w14:paraId="3F66F0A2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S3-1 </w:t>
      </w:r>
      <w:r>
        <w:rPr>
          <w:rFonts w:ascii="AdvOT1ef757c0" w:hAnsi="AdvOT1ef757c0" w:cs="AdvOT1ef757c0"/>
          <w:kern w:val="0"/>
          <w:sz w:val="20"/>
          <w:szCs w:val="20"/>
        </w:rPr>
        <w:t>Differentially expressed mRNAs identi</w:t>
      </w:r>
      <w:r>
        <w:rPr>
          <w:rFonts w:ascii="AdvOT1ef757c0+fb" w:eastAsia="AdvOT1ef757c0+fb" w:hAnsi="AdvOTb65e897d.B" w:cs="AdvOT1ef757c0+fb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ed on treating cells with 0.05 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μM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</w:t>
      </w:r>
      <w:proofErr w:type="gramStart"/>
      <w:r>
        <w:rPr>
          <w:rFonts w:ascii="AdvOT1ef757c0" w:hAnsi="AdvOT1ef757c0" w:cs="AdvOT1ef757c0"/>
          <w:kern w:val="0"/>
          <w:sz w:val="20"/>
          <w:szCs w:val="20"/>
        </w:rPr>
        <w:t>TP</w:t>
      </w:r>
      <w:proofErr w:type="gramEnd"/>
    </w:p>
    <w:p w14:paraId="6B2A55C9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S3-2 </w:t>
      </w:r>
      <w:r>
        <w:rPr>
          <w:rFonts w:ascii="AdvOT1ef757c0" w:hAnsi="AdvOT1ef757c0" w:cs="AdvOT1ef757c0"/>
          <w:kern w:val="0"/>
          <w:sz w:val="20"/>
          <w:szCs w:val="20"/>
        </w:rPr>
        <w:t>Differentially expressed mRNAs identi</w:t>
      </w:r>
      <w:r>
        <w:rPr>
          <w:rFonts w:ascii="AdvOT1ef757c0+fb" w:eastAsia="AdvOT1ef757c0+fb" w:hAnsi="AdvOTb65e897d.B" w:cs="AdvOT1ef757c0+fb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ed on treating cells with 0.15 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μM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</w:t>
      </w:r>
      <w:proofErr w:type="gramStart"/>
      <w:r>
        <w:rPr>
          <w:rFonts w:ascii="AdvOT1ef757c0" w:hAnsi="AdvOT1ef757c0" w:cs="AdvOT1ef757c0"/>
          <w:kern w:val="0"/>
          <w:sz w:val="20"/>
          <w:szCs w:val="20"/>
        </w:rPr>
        <w:t>TP</w:t>
      </w:r>
      <w:proofErr w:type="gramEnd"/>
    </w:p>
    <w:p w14:paraId="5229DF2D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S3-3 </w:t>
      </w:r>
      <w:r>
        <w:rPr>
          <w:rFonts w:ascii="AdvOT1ef757c0" w:hAnsi="AdvOT1ef757c0" w:cs="AdvOT1ef757c0"/>
          <w:kern w:val="0"/>
          <w:sz w:val="20"/>
          <w:szCs w:val="20"/>
        </w:rPr>
        <w:t>Differentially expressed mRNAs identi</w:t>
      </w:r>
      <w:r>
        <w:rPr>
          <w:rFonts w:ascii="AdvOT1ef757c0+fb" w:eastAsia="AdvOT1ef757c0+fb" w:hAnsi="AdvOTb65e897d.B" w:cs="AdvOT1ef757c0+fb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ed on treating cells with 0.45 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μM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</w:t>
      </w:r>
      <w:proofErr w:type="gramStart"/>
      <w:r>
        <w:rPr>
          <w:rFonts w:ascii="AdvOT1ef757c0" w:hAnsi="AdvOT1ef757c0" w:cs="AdvOT1ef757c0"/>
          <w:kern w:val="0"/>
          <w:sz w:val="20"/>
          <w:szCs w:val="20"/>
        </w:rPr>
        <w:t>TP</w:t>
      </w:r>
      <w:proofErr w:type="gramEnd"/>
    </w:p>
    <w:p w14:paraId="2B63B590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S4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KEGG pathway enrichment analysis of differentially expressed </w:t>
      </w:r>
      <w:proofErr w:type="gramStart"/>
      <w:r>
        <w:rPr>
          <w:rFonts w:ascii="AdvOT1ef757c0" w:hAnsi="AdvOT1ef757c0" w:cs="AdvOT1ef757c0"/>
          <w:kern w:val="0"/>
          <w:sz w:val="20"/>
          <w:szCs w:val="20"/>
        </w:rPr>
        <w:t>mRNAs</w:t>
      </w:r>
      <w:proofErr w:type="gramEnd"/>
    </w:p>
    <w:p w14:paraId="2B392497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S5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GO enrichment analysis of differentially expressed </w:t>
      </w:r>
      <w:proofErr w:type="gramStart"/>
      <w:r>
        <w:rPr>
          <w:rFonts w:ascii="AdvOT1ef757c0" w:hAnsi="AdvOT1ef757c0" w:cs="AdvOT1ef757c0"/>
          <w:kern w:val="0"/>
          <w:sz w:val="20"/>
          <w:szCs w:val="20"/>
        </w:rPr>
        <w:t>mRNAs</w:t>
      </w:r>
      <w:proofErr w:type="gramEnd"/>
    </w:p>
    <w:p w14:paraId="4A3D6F13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S6 </w:t>
      </w:r>
      <w:r>
        <w:rPr>
          <w:rFonts w:ascii="AdvOT1ef757c0" w:hAnsi="AdvOT1ef757c0" w:cs="AdvOT1ef757c0"/>
          <w:kern w:val="0"/>
          <w:sz w:val="20"/>
          <w:szCs w:val="20"/>
        </w:rPr>
        <w:t>Nodes and relationship pairs in the mRNA PPI network</w:t>
      </w:r>
    </w:p>
    <w:p w14:paraId="31DB0AEA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S7 </w:t>
      </w:r>
      <w:r>
        <w:rPr>
          <w:rFonts w:ascii="AdvOT1ef757c0" w:hAnsi="AdvOT1ef757c0" w:cs="AdvOT1ef757c0"/>
          <w:kern w:val="0"/>
          <w:sz w:val="20"/>
          <w:szCs w:val="20"/>
        </w:rPr>
        <w:t>Nodes and relationship pairs in the protein PPI network</w:t>
      </w:r>
    </w:p>
    <w:p w14:paraId="3B3E72C6" w14:textId="77777777" w:rsidR="00283FB5" w:rsidRDefault="00283FB5" w:rsidP="00283FB5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S8 </w:t>
      </w:r>
      <w:r>
        <w:rPr>
          <w:rFonts w:ascii="AdvOT1ef757c0" w:hAnsi="AdvOT1ef757c0" w:cs="AdvOT1ef757c0"/>
          <w:kern w:val="0"/>
          <w:sz w:val="20"/>
          <w:szCs w:val="20"/>
        </w:rPr>
        <w:t>Nodes and relationship pairs in the integrated PPI network</w:t>
      </w:r>
    </w:p>
    <w:p w14:paraId="438957AD" w14:textId="65C5DF82" w:rsidR="00135CAE" w:rsidRDefault="00283FB5" w:rsidP="00283FB5">
      <w:r>
        <w:rPr>
          <w:rFonts w:ascii="AdvOTb65e897d.B" w:hAnsi="AdvOTb65e897d.B" w:cs="AdvOTb65e897d.B"/>
          <w:kern w:val="0"/>
          <w:sz w:val="20"/>
          <w:szCs w:val="20"/>
        </w:rPr>
        <w:t xml:space="preserve">Table S9 </w:t>
      </w:r>
      <w:r>
        <w:rPr>
          <w:rFonts w:ascii="AdvOT1ef757c0" w:hAnsi="AdvOT1ef757c0" w:cs="AdvOT1ef757c0"/>
          <w:kern w:val="0"/>
          <w:sz w:val="20"/>
          <w:szCs w:val="20"/>
        </w:rPr>
        <w:t>Hub proteins in the integrated PPI network</w:t>
      </w:r>
    </w:p>
    <w:sectPr w:rsidR="00135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b65e897d.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+fb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B3"/>
    <w:rsid w:val="00135CAE"/>
    <w:rsid w:val="00283FB5"/>
    <w:rsid w:val="00F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0297A-765F-4B19-91B3-8AFB9CCD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2023-09-06T03:48:00Z</dcterms:created>
  <dcterms:modified xsi:type="dcterms:W3CDTF">2023-09-06T03:49:00Z</dcterms:modified>
</cp:coreProperties>
</file>